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="00F74626" w:rsidP="00977552" w:rsidRDefault="00343EB5" w14:paraId="0B37FD42" w14:textId="77777777">
      <w:pPr>
        <w:spacing w:before="80" w:after="80" w:line="240" w:lineRule="auto"/>
        <w:jc w:val="both"/>
        <w:rPr>
          <w:rFonts w:asciiTheme="majorHAnsi" w:hAnsiTheme="majorHAnsi" w:cstheme="majorHAnsi"/>
          <w:color w:val="000000"/>
          <w:lang w:val="es-MX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horario:</w:t>
      </w:r>
      <w:r w:rsidR="00F74626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F74626">
        <w:rPr>
          <w:rFonts w:asciiTheme="majorHAnsi" w:hAnsiTheme="majorHAnsi" w:cstheme="majorHAnsi"/>
          <w:b/>
          <w:bCs/>
          <w:color w:val="000000"/>
          <w:lang w:val="es-MX"/>
        </w:rPr>
        <w:t>PSI-207 PSICOLOGÍA DEL DESARROLLO DEL ADOLESCENTE Y ADULTO</w:t>
      </w:r>
      <w:r w:rsidRPr="00D94555">
        <w:rPr>
          <w:rFonts w:asciiTheme="majorHAnsi" w:hAnsiTheme="majorHAnsi" w:cstheme="majorHAnsi"/>
          <w:color w:val="000000"/>
          <w:lang w:val="es-MX"/>
        </w:rPr>
        <w:t xml:space="preserve"> </w:t>
      </w:r>
    </w:p>
    <w:p w:rsidRPr="00D94555" w:rsidR="00977552" w:rsidP="00977552" w:rsidRDefault="00977552" w14:paraId="3376B8B7" w14:textId="231F84D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D94555" w:rsidR="00047954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047954" w:rsidP="00343EB5" w:rsidRDefault="00047954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047954" w:rsidP="00343EB5" w:rsidRDefault="00577E3C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047954" w:rsidP="00343EB5" w:rsidRDefault="00577E3C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48" w:type="dxa"/>
          </w:tcPr>
          <w:p w:rsidRPr="00D94555" w:rsidR="00047954" w:rsidP="00343EB5" w:rsidRDefault="00577E3C" w14:paraId="044DDFF3" w14:textId="2BA2D8B9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VIERNES</w:t>
            </w:r>
          </w:p>
        </w:tc>
      </w:tr>
      <w:tr w:rsidRPr="00D94555" w:rsidR="001545BD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D94555" w:rsidR="001545BD" w:rsidP="001545BD" w:rsidRDefault="001545BD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D94555" w:rsidR="001545BD" w:rsidP="001545BD" w:rsidRDefault="004328FF" w14:paraId="18F607EF" w14:textId="0FC1E0AD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lang w:eastAsia="es-ES"/>
              </w:rPr>
              <w:t>7:15 – 8:45</w:t>
            </w:r>
          </w:p>
        </w:tc>
        <w:tc>
          <w:tcPr>
            <w:tcW w:w="2249" w:type="dxa"/>
            <w:shd w:val="clear" w:color="auto" w:fill="auto"/>
          </w:tcPr>
          <w:p w:rsidRPr="00D94555" w:rsidR="001545BD" w:rsidP="001545BD" w:rsidRDefault="004328FF" w14:paraId="319B18BE" w14:textId="758D9ADB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lang w:eastAsia="es-ES"/>
              </w:rPr>
              <w:t>7:15 – 8:45</w:t>
            </w:r>
          </w:p>
        </w:tc>
        <w:tc>
          <w:tcPr>
            <w:tcW w:w="2248" w:type="dxa"/>
          </w:tcPr>
          <w:p w:rsidRPr="00D94555" w:rsidR="001545BD" w:rsidP="001545BD" w:rsidRDefault="004328FF" w14:paraId="0587EAA5" w14:textId="788E1EBC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lang w:eastAsia="es-ES"/>
              </w:rPr>
              <w:t>7:15 – 8:00</w:t>
            </w:r>
          </w:p>
        </w:tc>
      </w:tr>
    </w:tbl>
    <w:p w:rsidRPr="00D94555" w:rsidR="00977552" w:rsidP="00977552" w:rsidRDefault="00977552" w14:paraId="4A2F29A7" w14:textId="1948570B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4328FF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4328FF">
        <w:rPr>
          <w:rFonts w:eastAsia="Times New Roman" w:asciiTheme="majorHAnsi" w:hAnsiTheme="majorHAnsi" w:cstheme="majorHAnsi"/>
          <w:b/>
          <w:bCs/>
          <w:lang w:val="es-MX" w:eastAsia="es-ES"/>
        </w:rPr>
        <w:t>de la Salud “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1F4D7EEE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1F4D7EEE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1F4D7EEE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61B040F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4328FF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EN </w:t>
            </w:r>
            <w:r w:rsidR="004328FF">
              <w:rPr>
                <w:rFonts w:asciiTheme="majorHAnsi" w:hAnsiTheme="majorHAnsi" w:cstheme="majorHAnsi"/>
                <w:color w:val="000000"/>
                <w:spacing w:val="5"/>
              </w:rPr>
              <w:t>PSICOLOGÍA</w:t>
            </w:r>
          </w:p>
          <w:p w:rsidRPr="00D94555" w:rsidR="0008689E" w:rsidP="0008689E" w:rsidRDefault="0008689E" w14:paraId="2FC2B99E" w14:textId="63C29AD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 xml:space="preserve">Certificado de inscripción </w:t>
            </w:r>
            <w:r w:rsidR="004328FF">
              <w:rPr>
                <w:rFonts w:asciiTheme="majorHAnsi" w:hAnsiTheme="majorHAnsi" w:cstheme="majorHAnsi"/>
                <w:spacing w:val="5"/>
              </w:rPr>
              <w:t>al colegio de Psicólogos</w:t>
            </w:r>
            <w:r w:rsidRPr="00D94555">
              <w:rPr>
                <w:rFonts w:asciiTheme="majorHAnsi" w:hAnsiTheme="majorHAnsi" w:cstheme="majorHAnsi"/>
                <w:spacing w:val="5"/>
              </w:rPr>
              <w:t xml:space="preserve"> de </w:t>
            </w:r>
            <w:r w:rsidR="004328FF">
              <w:rPr>
                <w:rFonts w:asciiTheme="majorHAnsi" w:hAnsiTheme="majorHAnsi" w:cstheme="majorHAnsi"/>
                <w:spacing w:val="5"/>
              </w:rPr>
              <w:t>Tarija</w:t>
            </w:r>
            <w:r w:rsidRPr="00D94555">
              <w:rPr>
                <w:rFonts w:asciiTheme="majorHAnsi" w:hAnsiTheme="majorHAnsi" w:cstheme="majorHAnsi"/>
                <w:spacing w:val="5"/>
              </w:rPr>
              <w:t xml:space="preserve">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4328FF" w:rsidP="004328FF" w:rsidRDefault="004328FF" w14:paraId="19A5C418" w14:textId="77777777">
            <w:pPr>
              <w:spacing w:before="80" w:after="80" w:line="240" w:lineRule="auto"/>
              <w:ind w:left="720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</w:p>
          <w:p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4328FF" w:rsidP="0008689E" w:rsidRDefault="004328FF" w14:paraId="1D3C832A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1F4D7EEE" w14:paraId="1BC0B21B" w14:textId="77777777">
              <w:trPr>
                <w:trHeight w:val="323"/>
              </w:trPr>
              <w:tc>
                <w:tcPr>
                  <w:tcW w:w="0" w:type="auto"/>
                  <w:tcMar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1F4D7EEE" w:rsidRDefault="0008689E" w14:paraId="5F4CAE1F" w14:textId="43A22975">
                  <w:pPr>
                    <w:pStyle w:val="Default"/>
                    <w:jc w:val="both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  <w:r w:rsidRPr="1F4D7EEE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Nota</w:t>
                  </w:r>
                  <w:r w:rsidRPr="1F4D7EEE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: </w:t>
                  </w:r>
                  <w:r w:rsidRPr="1F4D7EEE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La falta de presentación de documentos o </w:t>
                  </w:r>
                  <w:r w:rsidRPr="1F4D7EEE" w:rsidR="681BFF10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in</w:t>
                  </w:r>
                  <w:r w:rsidRPr="1F4D7EEE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Pr="1F4D7EEE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de la postulación a</w:t>
                  </w:r>
                  <w:r w:rsidRPr="1F4D7EEE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1F4D7EEE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al</w:t>
                  </w:r>
                  <w:r w:rsidRPr="1F4D7EEE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1F4D7EEE" w:rsidRDefault="00977552" w14:paraId="62890BCD" w14:textId="7E7AB513" w14:noSpellErr="1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1F4D7EEE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1F4D7EEE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1F4D7EEE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1F4D7EEE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1F4D7EEE" w:rsidRDefault="00D94555" w14:paraId="2D5C7159" w14:textId="77777777" w14:noSpellErr="1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1F4D7EEE" w:rsidP="1F4D7EEE" w:rsidRDefault="1F4D7EEE" w14:paraId="0C8E5D7E" w14:textId="499CA3D1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1F4D7EEE" w:rsidP="1F4D7EEE" w:rsidRDefault="1F4D7EEE" w14:paraId="338E6598" w14:textId="6775379A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00910479" w:rsidP="00910479" w:rsidRDefault="00910479" w14:paraId="7966A323" w14:textId="7777777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1F4D7EEE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1F4D7EEE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1F4D7EEE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1F4D7EEE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1F4D7EEE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1F4D7EEE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5C53BC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</w:t>
            </w:r>
            <w:r w:rsidR="004328FF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del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1F4D7EEE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1F4D7EEE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241648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4328FF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:rsidRPr="002B321D" w:rsidR="002B321D" w:rsidP="002B321D" w:rsidRDefault="002B321D" w14:paraId="3BF5CC8D" w14:textId="1799C71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21D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328FF">
                              <w:rPr>
                                <w:b/>
                                <w:sz w:val="24"/>
                                <w:szCs w:val="24"/>
                              </w:rPr>
                              <w:t>SICOLOGÍA DEL DESARROLLO DEL ADOLESCENTE Y ADULTO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55335C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32EDEA64" w14:textId="241648F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4328FF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Pr="002B321D" w:rsidR="002B321D" w:rsidP="002B321D" w:rsidRDefault="002B321D" w14:paraId="35E4D350" w14:textId="1799C71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321D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4328FF">
                        <w:rPr>
                          <w:b/>
                          <w:sz w:val="24"/>
                          <w:szCs w:val="24"/>
                        </w:rPr>
                        <w:t>SICOLOGÍA DEL DESARROLLO DEL ADOLESCENTE Y ADULTO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328FF" w14:paraId="50BABCB9" w14:textId="35FB1E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PSI- 207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0138216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328FF" w14:paraId="0630BF0C" w14:textId="35FB1E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PSI- 207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2B321D" w:rsidR="004328FF" w:rsidP="004328FF" w:rsidRDefault="00977552" w14:paraId="6853D0E2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4328FF" w:rsidR="004328FF">
                              <w:rPr>
                                <w:bCs/>
                                <w:sz w:val="24"/>
                                <w:szCs w:val="24"/>
                              </w:rPr>
                              <w:t>PSICOLOGÍA DEL DESARROLLO DEL ADOLESCENTE Y ADULTO</w:t>
                            </w:r>
                          </w:p>
                          <w:p w:rsidRPr="00D7379F" w:rsidR="00977552" w:rsidP="00977552" w:rsidRDefault="00977552" w14:paraId="05DEB4CE" w14:textId="7281658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178C3CE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2B321D" w:rsidR="004328FF" w:rsidP="004328FF" w:rsidRDefault="00977552" w14:paraId="7D97CE0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4328FF" w:rsidR="004328FF">
                        <w:rPr>
                          <w:bCs/>
                          <w:sz w:val="24"/>
                          <w:szCs w:val="24"/>
                        </w:rPr>
                        <w:t>PSICOLOGÍA DEL DESARROLLO DEL ADOLESCENTE Y ADULTO</w:t>
                      </w:r>
                    </w:p>
                    <w:p w:rsidRPr="00D7379F" w:rsidR="00977552" w:rsidP="00977552" w:rsidRDefault="00977552" w14:paraId="0A37501D" w14:textId="72816589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D711791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6B5579D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2640F86F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4328FF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C078DBF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2640F86F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4328FF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14A4F892">
                                  <w:r>
                                    <w:t xml:space="preserve">Lunes, </w:t>
                                  </w:r>
                                  <w:proofErr w:type="gramStart"/>
                                  <w:r>
                                    <w:t>Miércoles</w:t>
                                  </w:r>
                                  <w:proofErr w:type="gramEnd"/>
                                  <w:r>
                                    <w:t xml:space="preserve">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977552" w:rsidP="00C74425" w:rsidRDefault="004328FF" w14:paraId="54511B82" w14:textId="0989856C">
                                  <w:r>
                                    <w:t>7:15 – 8:45</w:t>
                                  </w:r>
                                  <w:r w:rsidR="00176BB4">
                                    <w:t>am</w:t>
                                  </w:r>
                                </w:p>
                                <w:p w:rsidRPr="007F60CF" w:rsidR="00176BB4" w:rsidP="00C74425" w:rsidRDefault="00176BB4" w14:paraId="22188716" w14:textId="2A2ACB5B">
                                  <w:r>
                                    <w:t>Y viernes de 7:15 – 8:00am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E1AC5FF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64546BA3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382BA516" w14:textId="14A4F892">
                            <w:r>
                              <w:t xml:space="preserve">Lunes, </w:t>
                            </w:r>
                            <w:proofErr w:type="gramStart"/>
                            <w:r>
                              <w:t>Miércoles</w:t>
                            </w:r>
                            <w:proofErr w:type="gramEnd"/>
                            <w:r>
                              <w:t xml:space="preserve"> y Viernes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977552" w:rsidP="00C74425" w:rsidRDefault="004328FF" w14:paraId="7A794F36" w14:textId="0989856C">
                            <w:r>
                              <w:t>7:15 – 8:45</w:t>
                            </w:r>
                            <w:r w:rsidR="00176BB4">
                              <w:t>am</w:t>
                            </w:r>
                          </w:p>
                          <w:p w:rsidRPr="007F60CF" w:rsidR="00176BB4" w:rsidP="00C74425" w:rsidRDefault="00176BB4" w14:paraId="5D2A17AD" w14:textId="2A2ACB5B">
                            <w:r>
                              <w:t>Y viernes de 7:15 – 8:00am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176BB4" w14:paraId="325F790B" w14:textId="1CEE52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176BB4" w14:paraId="13B3713E" w14:textId="354EE2B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0B4306A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3D4D69D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176BB4" w14:paraId="20BFCA01" w14:textId="1CEE52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176BB4" w14:paraId="75697EEC" w14:textId="354EE2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2EB378F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60D873FC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176BB4">
                              <w:rPr>
                                <w:rFonts w:cs="Arial"/>
                                <w:lang w:val="es-BO"/>
                              </w:rPr>
                              <w:t>Psicología del desarrollo 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0383718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6253A015" w14:textId="60D873FC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176BB4">
                        <w:rPr>
                          <w:rFonts w:cs="Arial"/>
                          <w:lang w:val="es-BO"/>
                        </w:rPr>
                        <w:t>Psicología del desarrollo Infantil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D508EA" w:rsidP="00D508EA" w:rsidRDefault="00D508EA" w14:paraId="78761757" w14:textId="77777777">
      <w:pPr>
        <w:pStyle w:val="TableParagraph"/>
        <w:spacing w:line="278" w:lineRule="auto"/>
        <w:ind w:left="360" w:right="237"/>
        <w:jc w:val="both"/>
        <w:rPr>
          <w:sz w:val="24"/>
        </w:rPr>
      </w:pPr>
      <w:r>
        <w:rPr>
          <w:sz w:val="24"/>
        </w:rPr>
        <w:t>Conocer las características del desarrollo humano a través del análisis crítico de 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mirada</w:t>
      </w:r>
      <w:r>
        <w:rPr>
          <w:spacing w:val="1"/>
          <w:sz w:val="24"/>
        </w:rPr>
        <w:t xml:space="preserve"> </w:t>
      </w:r>
      <w:r>
        <w:rPr>
          <w:sz w:val="24"/>
        </w:rPr>
        <w:t>transdisciplinaria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conciencia</w:t>
      </w:r>
      <w:r>
        <w:rPr>
          <w:spacing w:val="-5"/>
          <w:sz w:val="24"/>
        </w:rPr>
        <w:t xml:space="preserve"> </w:t>
      </w:r>
      <w:r>
        <w:rPr>
          <w:sz w:val="24"/>
        </w:rPr>
        <w:t>crítica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sensibilidad social.</w:t>
      </w:r>
    </w:p>
    <w:p w:rsidRPr="00D508EA" w:rsidR="00D508EA" w:rsidP="00D508EA" w:rsidRDefault="00D508EA" w14:paraId="4F2B5CCF" w14:textId="656A6003">
      <w:pPr>
        <w:pStyle w:val="Prrafodelista"/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508EA">
        <w:rPr>
          <w:sz w:val="24"/>
        </w:rPr>
        <w:t>Indispensable que el profesional psicólogo conozca las características de la adolescencia,</w:t>
      </w:r>
      <w:r w:rsidRPr="00D508EA">
        <w:rPr>
          <w:spacing w:val="1"/>
          <w:sz w:val="24"/>
        </w:rPr>
        <w:t xml:space="preserve"> </w:t>
      </w:r>
      <w:r w:rsidRPr="00D508EA">
        <w:rPr>
          <w:sz w:val="24"/>
        </w:rPr>
        <w:t>juventud y adultez a nivel físico, psicológico y social. Afianzando los conceptos teóricos con</w:t>
      </w:r>
      <w:r w:rsidRPr="00D508EA">
        <w:rPr>
          <w:spacing w:val="-57"/>
          <w:sz w:val="24"/>
        </w:rPr>
        <w:t xml:space="preserve"> </w:t>
      </w:r>
      <w:r w:rsidRPr="00D508EA">
        <w:rPr>
          <w:sz w:val="24"/>
        </w:rPr>
        <w:t>aplicaciones</w:t>
      </w:r>
      <w:r w:rsidRPr="00D508EA">
        <w:rPr>
          <w:spacing w:val="-1"/>
          <w:sz w:val="24"/>
        </w:rPr>
        <w:t xml:space="preserve"> </w:t>
      </w:r>
      <w:r w:rsidRPr="00D508EA">
        <w:rPr>
          <w:sz w:val="24"/>
        </w:rPr>
        <w:t>prácticas vinculadas al</w:t>
      </w:r>
      <w:r w:rsidRPr="00D508EA">
        <w:rPr>
          <w:spacing w:val="1"/>
          <w:sz w:val="24"/>
        </w:rPr>
        <w:t xml:space="preserve"> </w:t>
      </w:r>
      <w:r w:rsidRPr="00D508EA">
        <w:rPr>
          <w:sz w:val="24"/>
        </w:rPr>
        <w:t>contexto.</w:t>
      </w:r>
    </w:p>
    <w:p w:rsidR="00D508EA" w:rsidP="00C67FC9" w:rsidRDefault="00D508EA" w14:paraId="1CB0F6EC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77552" w:rsidP="00C67FC9" w:rsidRDefault="009A5FD5" w14:paraId="55C922F4" w14:textId="35C3340F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D508EA" w:rsidP="00D508EA" w:rsidRDefault="00D508EA" w14:paraId="657DC2E8" w14:textId="24AB3558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>Identificar indicadores de desarrollo humano para prevenir y solucionar problemáticas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desarrollo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adolescencia</w:t>
      </w:r>
      <w:r>
        <w:rPr>
          <w:spacing w:val="-16"/>
          <w:sz w:val="24"/>
        </w:rPr>
        <w:t xml:space="preserve"> </w:t>
      </w:r>
      <w:r>
        <w:rPr>
          <w:sz w:val="24"/>
        </w:rPr>
        <w:t>hasta</w:t>
      </w:r>
      <w:r>
        <w:rPr>
          <w:spacing w:val="-16"/>
          <w:sz w:val="24"/>
        </w:rPr>
        <w:t xml:space="preserve"> </w:t>
      </w:r>
      <w:r>
        <w:rPr>
          <w:sz w:val="24"/>
        </w:rPr>
        <w:t>edad</w:t>
      </w:r>
      <w:r>
        <w:rPr>
          <w:spacing w:val="-15"/>
          <w:sz w:val="24"/>
        </w:rPr>
        <w:t xml:space="preserve"> </w:t>
      </w:r>
      <w:r>
        <w:rPr>
          <w:sz w:val="24"/>
        </w:rPr>
        <w:t>adulta</w:t>
      </w:r>
      <w:r>
        <w:rPr>
          <w:spacing w:val="-13"/>
          <w:sz w:val="24"/>
        </w:rPr>
        <w:t xml:space="preserve"> </w:t>
      </w:r>
      <w:r>
        <w:rPr>
          <w:sz w:val="24"/>
        </w:rPr>
        <w:t>tardía,</w:t>
      </w:r>
      <w:r>
        <w:rPr>
          <w:spacing w:val="-13"/>
          <w:sz w:val="24"/>
        </w:rPr>
        <w:t xml:space="preserve"> </w:t>
      </w:r>
      <w:r>
        <w:rPr>
          <w:sz w:val="24"/>
        </w:rPr>
        <w:t>tomando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cuenta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diversidad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étnica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integral.</w:t>
      </w:r>
    </w:p>
    <w:p w:rsidRPr="00D94555" w:rsidR="00977552" w:rsidP="00D508EA" w:rsidRDefault="00977552" w14:paraId="2E93E11F" w14:textId="1CF45C18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</w:t>
        </w:r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t</w:t>
        </w:r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="00D508EA" w:rsidP="00D508EA" w:rsidRDefault="00D508EA" w14:paraId="280E375B" w14:textId="735806E0">
      <w:pPr>
        <w:pStyle w:val="TableParagraph"/>
        <w:tabs>
          <w:tab w:val="left" w:pos="773"/>
        </w:tabs>
        <w:ind w:right="245"/>
        <w:jc w:val="both"/>
        <w:rPr>
          <w:sz w:val="24"/>
        </w:rPr>
      </w:pPr>
      <w:r>
        <w:rPr>
          <w:sz w:val="24"/>
        </w:rPr>
        <w:t xml:space="preserve">1.-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Adolescencia</w:t>
      </w:r>
    </w:p>
    <w:p w:rsidR="00D508EA" w:rsidP="00D508EA" w:rsidRDefault="00D508EA" w14:paraId="446E677D" w14:textId="77777777">
      <w:pPr>
        <w:pStyle w:val="TableParagraph"/>
        <w:spacing w:before="9"/>
        <w:rPr>
          <w:b/>
          <w:sz w:val="27"/>
        </w:rPr>
      </w:pPr>
    </w:p>
    <w:p w:rsidR="00D508EA" w:rsidP="00D508EA" w:rsidRDefault="00D508EA" w14:paraId="60696375" w14:textId="50A05152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 xml:space="preserve">2.-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Adultez.</w:t>
      </w:r>
    </w:p>
    <w:p w:rsidR="00D508EA" w:rsidP="00D508EA" w:rsidRDefault="00D508EA" w14:paraId="6E388337" w14:textId="77777777">
      <w:pPr>
        <w:pStyle w:val="TableParagraph"/>
        <w:tabs>
          <w:tab w:val="left" w:pos="772"/>
          <w:tab w:val="left" w:pos="773"/>
        </w:tabs>
        <w:ind w:right="264"/>
        <w:rPr>
          <w:sz w:val="24"/>
        </w:rPr>
      </w:pPr>
      <w:r>
        <w:rPr>
          <w:sz w:val="24"/>
        </w:rPr>
        <w:t xml:space="preserve">3.- </w:t>
      </w:r>
      <w:r>
        <w:rPr>
          <w:sz w:val="24"/>
        </w:rPr>
        <w:t>Dificultades y crisis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adolescencia.</w:t>
      </w:r>
    </w:p>
    <w:p w:rsidR="00D508EA" w:rsidP="00D508EA" w:rsidRDefault="00D508EA" w14:paraId="090EB51E" w14:textId="77777777">
      <w:pPr>
        <w:pStyle w:val="TableParagraph"/>
        <w:spacing w:before="4"/>
        <w:rPr>
          <w:b/>
          <w:sz w:val="28"/>
        </w:rPr>
      </w:pPr>
    </w:p>
    <w:p w:rsidRPr="00D94555" w:rsidR="00D508EA" w:rsidP="00D508EA" w:rsidRDefault="00D508EA" w14:paraId="6E6FBDA4" w14:textId="02AF3052">
      <w:pPr>
        <w:spacing w:before="120" w:after="120" w:line="24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 xml:space="preserve">4.- </w:t>
      </w:r>
      <w:r>
        <w:rPr>
          <w:sz w:val="24"/>
        </w:rPr>
        <w:t xml:space="preserve">Dificultades y </w:t>
      </w:r>
      <w:r>
        <w:rPr>
          <w:sz w:val="24"/>
        </w:rPr>
        <w:t xml:space="preserve">crisis </w:t>
      </w:r>
      <w:r>
        <w:rPr>
          <w:spacing w:val="-57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edad</w:t>
      </w:r>
      <w:r>
        <w:rPr>
          <w:spacing w:val="2"/>
          <w:sz w:val="24"/>
        </w:rPr>
        <w:t xml:space="preserve"> </w:t>
      </w:r>
      <w:r>
        <w:rPr>
          <w:sz w:val="24"/>
        </w:rPr>
        <w:t>adulta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248FC" w:rsidP="00D508EA" w:rsidRDefault="00D508EA" w14:paraId="297F840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lang w:eastAsia="es-ES"/>
              </w:rPr>
              <w:t>-</w:t>
            </w:r>
          </w:p>
          <w:p w:rsidR="00D508EA" w:rsidP="00D508EA" w:rsidRDefault="00D508EA" w14:paraId="25010A0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2F35610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374ACEE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0638E11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29D18AC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4632743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D508EA" w:rsidR="00D508EA" w:rsidP="00D508EA" w:rsidRDefault="00D508EA" w14:paraId="604A4FE7" w14:textId="18A138C0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lang w:eastAsia="es-ES"/>
              </w:rPr>
              <w:t>-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248FC" w:rsidP="00D508EA" w:rsidRDefault="00D508EA" w14:paraId="63AF7AB9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lang w:val="es-BO" w:eastAsia="es-ES"/>
              </w:rPr>
              <w:t>-</w:t>
            </w:r>
          </w:p>
          <w:p w:rsidR="00D508EA" w:rsidP="00D508EA" w:rsidRDefault="00D508EA" w14:paraId="5703A8B1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31B16EC5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58E69F87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13F3A47F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12E6BF09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3AE1258A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Pr="00D508EA" w:rsidR="00D508EA" w:rsidP="00D508EA" w:rsidRDefault="00D508EA" w14:paraId="3997EBBD" w14:textId="6A69EB08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lang w:val="es-BO" w:eastAsia="es-ES"/>
              </w:rPr>
              <w:t>-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248FC" w:rsidP="00D508EA" w:rsidRDefault="00D508EA" w14:paraId="5B85EDF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:rsidR="00D508EA" w:rsidP="00D508EA" w:rsidRDefault="00D508EA" w14:paraId="113A0B2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24865D1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2EA0F65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533479F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3D1CEB2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35A70407" w14:textId="63526013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:rsidRPr="00D508EA" w:rsidR="00D508EA" w:rsidP="00D508EA" w:rsidRDefault="00D508EA" w14:paraId="499793DD" w14:textId="2333A481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6518321" w14:textId="61A534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5B442DF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37A9D799" w14:textId="35536486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87FA1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87FA1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87FA1" w:rsidP="00167EFD" w:rsidRDefault="00487FA1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487FA1" w:rsidP="001E43C3" w:rsidRDefault="00024C5D" w14:paraId="3B9EBD47" w14:textId="12F388B7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C26C07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87FA1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87FA1" w:rsidRDefault="00487FA1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87FA1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87FA1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87FA1" w:rsidP="00343EB5" w:rsidRDefault="00487FA1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87FA1" w:rsidRDefault="00024C5D" w14:paraId="3FAE0A8F" w14:textId="7A33D51C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C26C07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87FA1" w:rsidRDefault="00487FA1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3049"/>
    <w:multiLevelType w:val="hybridMultilevel"/>
    <w:tmpl w:val="4886B824"/>
    <w:lvl w:ilvl="0" w:tplc="B51A1F2C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30F8F536">
      <w:numFmt w:val="bullet"/>
      <w:lvlText w:val="•"/>
      <w:lvlJc w:val="left"/>
      <w:pPr>
        <w:ind w:left="998" w:hanging="361"/>
      </w:pPr>
      <w:rPr>
        <w:rFonts w:hint="default"/>
        <w:lang w:val="es-ES" w:eastAsia="en-US" w:bidi="ar-SA"/>
      </w:rPr>
    </w:lvl>
    <w:lvl w:ilvl="2" w:tplc="9AEA7340">
      <w:numFmt w:val="bullet"/>
      <w:lvlText w:val="•"/>
      <w:lvlJc w:val="left"/>
      <w:pPr>
        <w:ind w:left="1217" w:hanging="361"/>
      </w:pPr>
      <w:rPr>
        <w:rFonts w:hint="default"/>
        <w:lang w:val="es-ES" w:eastAsia="en-US" w:bidi="ar-SA"/>
      </w:rPr>
    </w:lvl>
    <w:lvl w:ilvl="3" w:tplc="01823888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4" w:tplc="36FE3EC0">
      <w:numFmt w:val="bullet"/>
      <w:lvlText w:val="•"/>
      <w:lvlJc w:val="left"/>
      <w:pPr>
        <w:ind w:left="1654" w:hanging="361"/>
      </w:pPr>
      <w:rPr>
        <w:rFonts w:hint="default"/>
        <w:lang w:val="es-ES" w:eastAsia="en-US" w:bidi="ar-SA"/>
      </w:rPr>
    </w:lvl>
    <w:lvl w:ilvl="5" w:tplc="9FF857AA">
      <w:numFmt w:val="bullet"/>
      <w:lvlText w:val="•"/>
      <w:lvlJc w:val="left"/>
      <w:pPr>
        <w:ind w:left="1873" w:hanging="361"/>
      </w:pPr>
      <w:rPr>
        <w:rFonts w:hint="default"/>
        <w:lang w:val="es-ES" w:eastAsia="en-US" w:bidi="ar-SA"/>
      </w:rPr>
    </w:lvl>
    <w:lvl w:ilvl="6" w:tplc="A3B2716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7" w:tplc="49EC6D90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BC1043EE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A1E66"/>
    <w:multiLevelType w:val="hybridMultilevel"/>
    <w:tmpl w:val="BEC8B888"/>
    <w:lvl w:ilvl="0" w:tplc="E8548A22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C30C2C96">
      <w:numFmt w:val="bullet"/>
      <w:lvlText w:val="•"/>
      <w:lvlJc w:val="left"/>
      <w:pPr>
        <w:ind w:left="998" w:hanging="361"/>
      </w:pPr>
      <w:rPr>
        <w:rFonts w:hint="default"/>
        <w:lang w:val="es-ES" w:eastAsia="en-US" w:bidi="ar-SA"/>
      </w:rPr>
    </w:lvl>
    <w:lvl w:ilvl="2" w:tplc="E7B0F958">
      <w:numFmt w:val="bullet"/>
      <w:lvlText w:val="•"/>
      <w:lvlJc w:val="left"/>
      <w:pPr>
        <w:ind w:left="1217" w:hanging="361"/>
      </w:pPr>
      <w:rPr>
        <w:rFonts w:hint="default"/>
        <w:lang w:val="es-ES" w:eastAsia="en-US" w:bidi="ar-SA"/>
      </w:rPr>
    </w:lvl>
    <w:lvl w:ilvl="3" w:tplc="4C723AD6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4" w:tplc="87787DA0">
      <w:numFmt w:val="bullet"/>
      <w:lvlText w:val="•"/>
      <w:lvlJc w:val="left"/>
      <w:pPr>
        <w:ind w:left="1654" w:hanging="361"/>
      </w:pPr>
      <w:rPr>
        <w:rFonts w:hint="default"/>
        <w:lang w:val="es-ES" w:eastAsia="en-US" w:bidi="ar-SA"/>
      </w:rPr>
    </w:lvl>
    <w:lvl w:ilvl="5" w:tplc="E3385A6C">
      <w:numFmt w:val="bullet"/>
      <w:lvlText w:val="•"/>
      <w:lvlJc w:val="left"/>
      <w:pPr>
        <w:ind w:left="1873" w:hanging="361"/>
      </w:pPr>
      <w:rPr>
        <w:rFonts w:hint="default"/>
        <w:lang w:val="es-ES" w:eastAsia="en-US" w:bidi="ar-SA"/>
      </w:rPr>
    </w:lvl>
    <w:lvl w:ilvl="6" w:tplc="3970F2F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7" w:tplc="F4A61C8C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7AD84586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8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1"/>
  </w:num>
  <w:num w:numId="23" w16cid:durableId="1961298829">
    <w:abstractNumId w:val="19"/>
  </w:num>
  <w:num w:numId="24" w16cid:durableId="73219324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76BB4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D1543"/>
    <w:rsid w:val="002E19D7"/>
    <w:rsid w:val="002E316F"/>
    <w:rsid w:val="002E64A2"/>
    <w:rsid w:val="00330794"/>
    <w:rsid w:val="00343EB5"/>
    <w:rsid w:val="003D24D5"/>
    <w:rsid w:val="004328FF"/>
    <w:rsid w:val="004743BE"/>
    <w:rsid w:val="00487FA1"/>
    <w:rsid w:val="005355D3"/>
    <w:rsid w:val="005414DC"/>
    <w:rsid w:val="00550202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E0E77"/>
    <w:rsid w:val="00A35C6F"/>
    <w:rsid w:val="00B37BD6"/>
    <w:rsid w:val="00BA2BBF"/>
    <w:rsid w:val="00BD3BB1"/>
    <w:rsid w:val="00C247C6"/>
    <w:rsid w:val="00C26C07"/>
    <w:rsid w:val="00C67FC9"/>
    <w:rsid w:val="00C95256"/>
    <w:rsid w:val="00CA41F5"/>
    <w:rsid w:val="00CD3665"/>
    <w:rsid w:val="00D366BF"/>
    <w:rsid w:val="00D508EA"/>
    <w:rsid w:val="00D738C0"/>
    <w:rsid w:val="00D94555"/>
    <w:rsid w:val="00DF4261"/>
    <w:rsid w:val="00E72F00"/>
    <w:rsid w:val="00EA7529"/>
    <w:rsid w:val="00EF1492"/>
    <w:rsid w:val="00F056EF"/>
    <w:rsid w:val="00F74626"/>
    <w:rsid w:val="00F85233"/>
    <w:rsid w:val="00FB309E"/>
    <w:rsid w:val="1F4D7EEE"/>
    <w:rsid w:val="52ADEA90"/>
    <w:rsid w:val="681BF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D508E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4</revision>
  <dcterms:created xsi:type="dcterms:W3CDTF">2024-05-31T14:10:00.0000000Z</dcterms:created>
  <dcterms:modified xsi:type="dcterms:W3CDTF">2024-06-03T22:20:36.3645153Z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