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1833A457" w:rsidRDefault="00343EB5" w14:paraId="76C660A6" w14:textId="77E9117B">
      <w:pPr>
        <w:spacing w:before="80" w:after="80" w:line="240" w:lineRule="auto"/>
        <w:jc w:val="both"/>
        <w:rPr>
          <w:rFonts w:eastAsia="Times New Roman" w:asciiTheme="majorHAnsi" w:hAnsiTheme="majorHAnsi" w:cstheme="majorBidi"/>
          <w:b/>
          <w:bCs/>
          <w:lang w:val="es-MX" w:eastAsia="es-ES"/>
        </w:rPr>
      </w:pPr>
      <w:r w:rsidRPr="1833A457">
        <w:rPr>
          <w:rFonts w:asciiTheme="majorHAnsi" w:hAnsiTheme="majorHAnsi" w:cstheme="majorBidi"/>
          <w:color w:val="000000" w:themeColor="text1"/>
          <w:lang w:val="es-MX"/>
        </w:rPr>
        <w:t xml:space="preserve">Asignatura para incorporarse como docente a tiempo horario: </w:t>
      </w:r>
      <w:r w:rsidRPr="1833A457" w:rsidR="00334D2A">
        <w:rPr>
          <w:rFonts w:eastAsia="Times New Roman" w:asciiTheme="majorHAnsi" w:hAnsiTheme="majorHAnsi" w:cstheme="majorBidi"/>
          <w:b/>
          <w:bCs/>
          <w:lang w:val="es-MX" w:eastAsia="es-ES"/>
        </w:rPr>
        <w:t>DER</w:t>
      </w:r>
      <w:r w:rsidRPr="1833A457" w:rsidR="00135FB4">
        <w:rPr>
          <w:rFonts w:eastAsia="Times New Roman" w:asciiTheme="majorHAnsi" w:hAnsiTheme="majorHAnsi" w:cstheme="majorBidi"/>
          <w:b/>
          <w:bCs/>
          <w:lang w:val="es-MX" w:eastAsia="es-ES"/>
        </w:rPr>
        <w:t>-</w:t>
      </w:r>
      <w:r w:rsidRPr="1833A457" w:rsidR="00334D2A">
        <w:rPr>
          <w:rFonts w:eastAsia="Times New Roman" w:asciiTheme="majorHAnsi" w:hAnsiTheme="majorHAnsi" w:cstheme="majorBidi"/>
          <w:b/>
          <w:bCs/>
          <w:lang w:val="es-MX" w:eastAsia="es-ES"/>
        </w:rPr>
        <w:t>259</w:t>
      </w:r>
      <w:r w:rsidRPr="1833A457" w:rsidR="00135FB4">
        <w:rPr>
          <w:rFonts w:eastAsia="Times New Roman" w:asciiTheme="majorHAnsi" w:hAnsiTheme="majorHAnsi" w:cstheme="majorBidi"/>
          <w:b/>
          <w:bCs/>
          <w:lang w:val="es-MX" w:eastAsia="es-ES"/>
        </w:rPr>
        <w:t xml:space="preserve"> </w:t>
      </w:r>
      <w:r w:rsidRPr="1833A457" w:rsidR="00334D2A">
        <w:rPr>
          <w:rFonts w:eastAsia="Times New Roman" w:asciiTheme="majorHAnsi" w:hAnsiTheme="majorHAnsi" w:cstheme="majorBidi"/>
          <w:b/>
          <w:bCs/>
          <w:lang w:val="es-MX" w:eastAsia="es-ES"/>
        </w:rPr>
        <w:t>DERECHO DE LA EMPRESA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1833A457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047954" w:rsidP="00343EB5" w:rsidRDefault="00577E3C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047954" w:rsidP="00343EB5" w:rsidRDefault="00577E3C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:rsidRPr="00D94555" w:rsidR="00047954" w:rsidP="00343EB5" w:rsidRDefault="00047954" w14:paraId="044DDFF3" w14:textId="4F3BBE8F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</w:p>
        </w:tc>
      </w:tr>
      <w:tr w:rsidRPr="00D94555" w:rsidR="001545BD" w:rsidTr="1833A457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1545BD" w:rsidP="1833A457" w:rsidRDefault="001545BD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Bidi"/>
                <w:b/>
                <w:bCs/>
                <w:lang w:val="es-MX" w:eastAsia="es-ES"/>
              </w:rPr>
            </w:pPr>
            <w:r w:rsidRPr="1833A457">
              <w:rPr>
                <w:rFonts w:eastAsia="Times New Roman" w:asciiTheme="majorHAnsi" w:hAnsiTheme="majorHAnsi" w:cstheme="majorBidi"/>
                <w:b/>
                <w:bCs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D94555" w:rsidR="001545BD" w:rsidP="1833A457" w:rsidRDefault="00334D2A" w14:paraId="18F607EF" w14:textId="40125C7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Bidi"/>
                <w:lang w:val="es-MX" w:eastAsia="es-ES"/>
              </w:rPr>
            </w:pPr>
            <w:r w:rsidRPr="1833A457">
              <w:rPr>
                <w:rFonts w:asciiTheme="majorHAnsi" w:hAnsiTheme="majorHAnsi" w:cstheme="majorBidi"/>
              </w:rPr>
              <w:t>9</w:t>
            </w:r>
            <w:r w:rsidRPr="1833A457" w:rsidR="001545BD">
              <w:rPr>
                <w:rFonts w:asciiTheme="majorHAnsi" w:hAnsiTheme="majorHAnsi" w:cstheme="majorBidi"/>
              </w:rPr>
              <w:t>:00 – 1</w:t>
            </w:r>
            <w:r w:rsidRPr="1833A457">
              <w:rPr>
                <w:rFonts w:asciiTheme="majorHAnsi" w:hAnsiTheme="majorHAnsi" w:cstheme="majorBidi"/>
              </w:rPr>
              <w:t>0</w:t>
            </w:r>
            <w:r w:rsidRPr="1833A457" w:rsidR="001545BD">
              <w:rPr>
                <w:rFonts w:asciiTheme="majorHAnsi" w:hAnsiTheme="majorHAnsi" w:cstheme="majorBidi"/>
              </w:rPr>
              <w:t>:30</w:t>
            </w:r>
          </w:p>
        </w:tc>
        <w:tc>
          <w:tcPr>
            <w:tcW w:w="2249" w:type="dxa"/>
            <w:shd w:val="clear" w:color="auto" w:fill="auto"/>
          </w:tcPr>
          <w:p w:rsidRPr="00D94555" w:rsidR="001545BD" w:rsidP="1833A457" w:rsidRDefault="00334D2A" w14:paraId="319B18BE" w14:textId="470AE681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Bidi"/>
                <w:lang w:val="es-MX" w:eastAsia="es-ES"/>
              </w:rPr>
            </w:pPr>
            <w:r w:rsidRPr="1833A457">
              <w:rPr>
                <w:rFonts w:asciiTheme="majorHAnsi" w:hAnsiTheme="majorHAnsi" w:cstheme="majorBidi"/>
              </w:rPr>
              <w:t>9</w:t>
            </w:r>
            <w:r w:rsidRPr="1833A457" w:rsidR="001545BD">
              <w:rPr>
                <w:rFonts w:asciiTheme="majorHAnsi" w:hAnsiTheme="majorHAnsi" w:cstheme="majorBidi"/>
              </w:rPr>
              <w:t xml:space="preserve">:00 – </w:t>
            </w:r>
            <w:r w:rsidRPr="1833A457">
              <w:rPr>
                <w:rFonts w:asciiTheme="majorHAnsi" w:hAnsiTheme="majorHAnsi" w:cstheme="majorBidi"/>
              </w:rPr>
              <w:t>10</w:t>
            </w:r>
            <w:r w:rsidRPr="1833A457" w:rsidR="001545BD">
              <w:rPr>
                <w:rFonts w:asciiTheme="majorHAnsi" w:hAnsiTheme="majorHAnsi" w:cstheme="majorBidi"/>
              </w:rPr>
              <w:t>:30</w:t>
            </w:r>
          </w:p>
        </w:tc>
        <w:tc>
          <w:tcPr>
            <w:tcW w:w="2248" w:type="dxa"/>
          </w:tcPr>
          <w:p w:rsidRPr="00D94555" w:rsidR="001545BD" w:rsidP="1833A457" w:rsidRDefault="001545BD" w14:paraId="0587EAA5" w14:textId="420A54AF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Bidi"/>
                <w:lang w:val="es-MX" w:eastAsia="es-ES"/>
              </w:rPr>
            </w:pPr>
          </w:p>
        </w:tc>
      </w:tr>
    </w:tbl>
    <w:p w:rsidRPr="00D94555" w:rsidR="00977552" w:rsidP="1833A457" w:rsidRDefault="00977552" w14:paraId="4A2F29A7" w14:textId="59C60C25">
      <w:pPr>
        <w:spacing w:before="80" w:after="80" w:line="240" w:lineRule="auto"/>
        <w:jc w:val="both"/>
        <w:rPr>
          <w:rFonts w:eastAsia="Times New Roman" w:asciiTheme="majorHAnsi" w:hAnsiTheme="majorHAnsi" w:cstheme="majorBidi"/>
          <w:lang w:val="es-MX" w:eastAsia="es-ES"/>
        </w:rPr>
      </w:pPr>
      <w:r w:rsidRPr="1833A457">
        <w:rPr>
          <w:rFonts w:eastAsia="Times New Roman" w:asciiTheme="majorHAnsi" w:hAnsiTheme="majorHAnsi" w:cstheme="majorBidi"/>
          <w:lang w:val="es-MX" w:eastAsia="es-ES"/>
        </w:rPr>
        <w:t xml:space="preserve">Departamento que lo demanda: </w:t>
      </w:r>
      <w:r w:rsidRPr="1833A457">
        <w:rPr>
          <w:rFonts w:eastAsia="Times New Roman" w:asciiTheme="majorHAnsi" w:hAnsiTheme="majorHAnsi" w:cstheme="majorBidi"/>
          <w:b/>
          <w:bCs/>
          <w:lang w:val="es-MX" w:eastAsia="es-ES"/>
        </w:rPr>
        <w:t>“Departamento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7C9E8766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1833A457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Bidi"/>
                <w:spacing w:val="5"/>
                <w:lang w:eastAsia="es-ES"/>
              </w:rPr>
            </w:pPr>
            <w:r w:rsidRPr="1833A457">
              <w:rPr>
                <w:rFonts w:asciiTheme="majorHAnsi" w:hAnsiTheme="majorHAnsi" w:cstheme="majorBid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7C9E8766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1833A457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Bidi"/>
                <w:spacing w:val="5"/>
                <w:lang w:eastAsia="es-ES"/>
              </w:rPr>
            </w:pPr>
            <w:r w:rsidRPr="1833A457">
              <w:rPr>
                <w:rFonts w:eastAsia="Times New Roman" w:asciiTheme="majorHAnsi" w:hAnsiTheme="majorHAnsi" w:cstheme="majorBidi"/>
                <w:b/>
                <w:bCs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7C9E8766" w14:paraId="3E96944F" w14:textId="77777777">
        <w:trPr>
          <w:trHeight w:val="3840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1833A457" w:rsidRDefault="0008689E" w14:paraId="4481A485" w14:textId="12606FA7">
            <w:pPr>
              <w:rPr>
                <w:rFonts w:asciiTheme="majorHAnsi" w:hAnsiTheme="majorHAnsi" w:cstheme="majorBidi"/>
                <w:b/>
                <w:bCs/>
                <w:color w:val="000000"/>
                <w:spacing w:val="5"/>
                <w:lang w:eastAsia="es-BO"/>
              </w:rPr>
            </w:pPr>
            <w:r w:rsidRPr="1833A457">
              <w:rPr>
                <w:rFonts w:asciiTheme="majorHAnsi" w:hAnsiTheme="majorHAnsi" w:cstheme="majorBidi"/>
                <w:b/>
                <w:bCs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1833A457" w:rsidRDefault="0008689E" w14:paraId="3C915DA8" w14:textId="13FBFE48">
            <w:pPr>
              <w:numPr>
                <w:ilvl w:val="0"/>
                <w:numId w:val="5"/>
              </w:numPr>
              <w:spacing w:before="80" w:after="80" w:line="276" w:lineRule="auto"/>
              <w:jc w:val="both"/>
              <w:rPr>
                <w:rFonts w:asciiTheme="majorHAnsi" w:hAnsiTheme="majorHAnsi" w:cstheme="majorBidi"/>
                <w:color w:val="FF0000"/>
                <w:spacing w:val="5"/>
              </w:rPr>
            </w:pPr>
            <w:r w:rsidRPr="1833A457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Pr="1833A457" w:rsidR="00334D2A">
              <w:rPr>
                <w:rFonts w:asciiTheme="majorHAnsi" w:hAnsiTheme="majorHAnsi" w:cstheme="majorBidi"/>
                <w:color w:val="000000"/>
                <w:spacing w:val="5"/>
              </w:rPr>
              <w:t>DERECHO</w:t>
            </w:r>
            <w:r w:rsidRPr="1833A457">
              <w:rPr>
                <w:rFonts w:asciiTheme="majorHAnsi" w:hAnsiTheme="majorHAnsi" w:cstheme="majorBidi"/>
                <w:color w:val="000000"/>
                <w:spacing w:val="5"/>
              </w:rPr>
              <w:t>.</w:t>
            </w:r>
          </w:p>
          <w:p w:rsidRPr="00D94555" w:rsidR="0008689E" w:rsidP="1833A457" w:rsidRDefault="0008689E" w14:paraId="5C57B618" w14:textId="77777777">
            <w:pPr>
              <w:numPr>
                <w:ilvl w:val="0"/>
                <w:numId w:val="5"/>
              </w:numPr>
              <w:spacing w:before="80" w:after="80" w:line="276" w:lineRule="auto"/>
              <w:jc w:val="both"/>
              <w:rPr>
                <w:rFonts w:asciiTheme="majorHAnsi" w:hAnsiTheme="majorHAnsi" w:cstheme="majorBidi"/>
                <w:spacing w:val="5"/>
              </w:rPr>
            </w:pPr>
            <w:r w:rsidRPr="1833A457">
              <w:rPr>
                <w:rFonts w:asciiTheme="majorHAnsi" w:hAnsiTheme="majorHAnsi" w:cstheme="majorBidi"/>
                <w:spacing w:val="5"/>
              </w:rPr>
              <w:t>Diplomado en Educación Superior.</w:t>
            </w:r>
          </w:p>
          <w:p w:rsidRPr="00D94555" w:rsidR="0008689E" w:rsidP="1833A457" w:rsidRDefault="0008689E" w14:paraId="2BF18C70" w14:textId="77777777">
            <w:pPr>
              <w:numPr>
                <w:ilvl w:val="0"/>
                <w:numId w:val="5"/>
              </w:numPr>
              <w:spacing w:before="80" w:after="80" w:line="276" w:lineRule="auto"/>
              <w:jc w:val="both"/>
              <w:rPr>
                <w:rFonts w:eastAsia="Calibri" w:asciiTheme="majorHAnsi" w:hAnsiTheme="majorHAnsi" w:cstheme="majorBidi"/>
                <w:b/>
                <w:bCs/>
                <w:spacing w:val="5"/>
                <w:lang w:eastAsia="es-BO"/>
              </w:rPr>
            </w:pPr>
            <w:r w:rsidRPr="1833A457">
              <w:rPr>
                <w:rFonts w:asciiTheme="majorHAnsi" w:hAnsiTheme="majorHAnsi" w:cstheme="majorBid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1833A457" w:rsidRDefault="0008689E" w14:paraId="6CA576BB" w14:textId="77777777">
            <w:pPr>
              <w:numPr>
                <w:ilvl w:val="0"/>
                <w:numId w:val="5"/>
              </w:numPr>
              <w:spacing w:before="80" w:after="80" w:line="276" w:lineRule="auto"/>
              <w:contextualSpacing/>
              <w:jc w:val="both"/>
              <w:rPr>
                <w:rFonts w:asciiTheme="majorHAnsi" w:hAnsiTheme="majorHAnsi" w:cstheme="majorBidi"/>
                <w:spacing w:val="5"/>
                <w:lang w:eastAsia="es-BO"/>
              </w:rPr>
            </w:pPr>
            <w:r w:rsidRPr="1833A457">
              <w:rPr>
                <w:rFonts w:asciiTheme="majorHAnsi" w:hAnsiTheme="majorHAnsi" w:cstheme="majorBidi"/>
                <w:spacing w:val="5"/>
              </w:rPr>
              <w:t>No tener incompatibilidad conforme al reglamento interno</w:t>
            </w:r>
          </w:p>
          <w:p w:rsidRPr="00D94555" w:rsidR="0008689E" w:rsidP="1833A457" w:rsidRDefault="0008689E" w14:paraId="22C8E02B" w14:textId="77777777">
            <w:pPr>
              <w:contextualSpacing/>
              <w:rPr>
                <w:rFonts w:asciiTheme="majorHAnsi" w:hAnsiTheme="majorHAnsi" w:cstheme="majorBidi"/>
                <w:b/>
                <w:bCs/>
                <w:spacing w:val="5"/>
              </w:rPr>
            </w:pPr>
            <w:proofErr w:type="gramStart"/>
            <w:r w:rsidRPr="1833A457">
              <w:rPr>
                <w:rFonts w:asciiTheme="majorHAnsi" w:hAnsiTheme="majorHAnsi" w:cstheme="majorBidi"/>
                <w:b/>
                <w:bCs/>
                <w:spacing w:val="5"/>
              </w:rPr>
              <w:t>DOCUMENTOS A PRESENTAR</w:t>
            </w:r>
            <w:proofErr w:type="gramEnd"/>
            <w:r w:rsidRPr="1833A457">
              <w:rPr>
                <w:rFonts w:asciiTheme="majorHAnsi" w:hAnsiTheme="majorHAnsi" w:cstheme="majorBid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1833A457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Bidi"/>
                <w:spacing w:val="5"/>
                <w:lang w:eastAsia="es-BO"/>
              </w:rPr>
            </w:pPr>
            <w:r w:rsidRPr="1833A457">
              <w:rPr>
                <w:rFonts w:asciiTheme="majorHAnsi" w:hAnsiTheme="majorHAnsi" w:cstheme="majorBidi"/>
                <w:spacing w:val="5"/>
                <w:lang w:eastAsia="es-BO"/>
              </w:rPr>
              <w:t xml:space="preserve">Formulario de Postulación con respaldo documentario </w:t>
            </w:r>
            <w:r w:rsidRPr="1833A457">
              <w:rPr>
                <w:rFonts w:asciiTheme="majorHAnsi" w:hAnsiTheme="majorHAnsi" w:cstheme="majorBidi"/>
                <w:i/>
                <w:iCs/>
                <w:spacing w:val="5"/>
                <w:lang w:eastAsia="es-BO"/>
              </w:rPr>
              <w:t>únicamente de lo solicitado</w:t>
            </w:r>
            <w:r w:rsidRPr="1833A457">
              <w:rPr>
                <w:rFonts w:asciiTheme="majorHAnsi" w:hAnsiTheme="majorHAnsi" w:cstheme="majorBidi"/>
                <w:spacing w:val="5"/>
                <w:lang w:eastAsia="es-BO"/>
              </w:rPr>
              <w:t xml:space="preserve"> en el formulario. </w:t>
            </w:r>
          </w:p>
          <w:p w:rsidRPr="00D94555" w:rsidR="0008689E" w:rsidP="1833A457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Bidi"/>
                <w:spacing w:val="5"/>
                <w:lang w:eastAsia="es-BO"/>
              </w:rPr>
            </w:pPr>
            <w:r w:rsidRPr="1833A457">
              <w:rPr>
                <w:rFonts w:asciiTheme="majorHAnsi" w:hAnsiTheme="majorHAnsi" w:cstheme="majorBidi"/>
                <w:spacing w:val="5"/>
                <w:lang w:eastAsia="es-BO"/>
              </w:rPr>
              <w:t>Plan de Asignatura</w:t>
            </w:r>
            <w:r w:rsidRPr="1833A457" w:rsidR="00D94555">
              <w:rPr>
                <w:rFonts w:asciiTheme="majorHAnsi" w:hAnsiTheme="majorHAnsi" w:cstheme="majorBid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1833A457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D94555" w:rsidR="0008689E" w:rsidP="1833A457" w:rsidRDefault="0008689E" w14:paraId="5F4CAE1F" w14:textId="52E7CF43">
                  <w:pPr>
                    <w:pStyle w:val="Default"/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833A457">
                    <w:rPr>
                      <w:rFonts w:asciiTheme="majorHAnsi" w:hAnsiTheme="majorHAnsi" w:cstheme="majorBidi"/>
                      <w:sz w:val="20"/>
                      <w:szCs w:val="20"/>
                    </w:rPr>
                    <w:t>Nota</w:t>
                  </w:r>
                  <w:r w:rsidRPr="1833A457" w:rsidR="00D94555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: </w:t>
                  </w:r>
                  <w:r w:rsidRPr="1833A45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Pr="1833A457" w:rsidR="00D94555">
                    <w:rPr>
                      <w:rFonts w:asciiTheme="majorHAnsi" w:hAnsiTheme="majorHAnsi" w:cstheme="majorBidi"/>
                      <w:sz w:val="20"/>
                      <w:szCs w:val="20"/>
                    </w:rPr>
                    <w:t>de la postulación a</w:t>
                  </w:r>
                  <w:r w:rsidRPr="1833A45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1833A457" w:rsidR="00D94555">
                    <w:rPr>
                      <w:rFonts w:asciiTheme="majorHAnsi" w:hAnsiTheme="majorHAnsi" w:cstheme="majorBidi"/>
                      <w:sz w:val="20"/>
                      <w:szCs w:val="20"/>
                    </w:rPr>
                    <w:t>al</w:t>
                  </w:r>
                  <w:r w:rsidRPr="1833A45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7371FF5E" w:rsidRDefault="00977552" w14:paraId="62890BCD" w14:textId="7E7AB513">
            <w:pPr>
              <w:spacing w:before="80" w:after="80" w:line="240" w:lineRule="auto"/>
              <w:jc w:val="both"/>
              <w:rPr>
                <w:rFonts w:eastAsia="Times New Roman" w:asciiTheme="majorHAnsi" w:hAnsiTheme="majorHAnsi" w:cstheme="majorBidi"/>
                <w:b/>
                <w:bCs/>
                <w:spacing w:val="5"/>
                <w:lang w:eastAsia="es-BO"/>
              </w:rPr>
            </w:pPr>
          </w:p>
        </w:tc>
      </w:tr>
      <w:tr w:rsidRPr="00D94555" w:rsidR="0008689E" w:rsidTr="7C9E8766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A624BD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A624BD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A624BD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A624BD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A624BD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A624BD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A624BD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A624BD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A624BD" w:rsidR="00A624BD" w:rsidP="7C9E8766" w:rsidRDefault="0008689E" w14:paraId="10B2E59A" w14:textId="4C808894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cs="" w:asciiTheme="majorAscii" w:hAnsiTheme="majorAscii" w:cstheme="majorBidi"/>
                <w:color w:val="000000"/>
              </w:rPr>
            </w:pPr>
            <w:r w:rsidRPr="7C9E8766" w:rsidR="7C9E8766">
              <w:rPr>
                <w:rFonts w:ascii="Calibri Light" w:hAnsi="Calibri Light" w:cs="" w:asciiTheme="majorAscii" w:hAnsiTheme="majorAscii" w:cstheme="majorBidi"/>
                <w:color w:val="000000" w:themeColor="text1" w:themeTint="FF" w:themeShade="FF"/>
              </w:rPr>
              <w:t>Conocimiento del idioma inglés.</w:t>
            </w:r>
          </w:p>
          <w:p w:rsidRPr="00A624BD" w:rsidR="00A624BD" w:rsidP="7C9E8766" w:rsidRDefault="0008689E" w14:paraId="3C5DFB4B" w14:textId="15DBA262">
            <w:pPr>
              <w:pStyle w:val="Normal"/>
              <w:spacing w:after="0" w:line="240" w:lineRule="auto"/>
              <w:ind w:left="0"/>
              <w:jc w:val="both"/>
              <w:rPr>
                <w:rFonts w:ascii="Calibri Light" w:hAnsi="Calibri Light" w:cs="" w:asciiTheme="majorAscii" w:hAnsiTheme="majorAscii" w:cstheme="majorBidi"/>
                <w:color w:val="000000"/>
              </w:rPr>
            </w:pPr>
          </w:p>
        </w:tc>
      </w:tr>
      <w:tr w:rsidRPr="00D94555" w:rsidR="00977552" w:rsidTr="7C9E8766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7C9E8766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7C9E8766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624BD" w:rsidR="00D94555" w:rsidP="00A624BD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A624BD" w:rsidRDefault="00C247C6" w14:paraId="01828D69" w14:textId="03A3947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A624BD" w:rsidRDefault="00D94555" w14:paraId="0877B284" w14:textId="39B5121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A624BD" w:rsidRDefault="00D94555" w14:paraId="73081C5C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A624BD" w:rsidRDefault="00D94555" w14:paraId="1934F9C9" w14:textId="7284AD9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A624BD" w:rsidRDefault="00D94555" w14:paraId="205F55BC" w14:textId="67053A0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Preparar materiales y guías de docencia. </w:t>
            </w:r>
          </w:p>
          <w:p w:rsidRPr="005355D3" w:rsidR="00D94555" w:rsidP="00A624BD" w:rsidRDefault="00D94555" w14:paraId="0468CC3E" w14:textId="4E8FD7D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Preparar y realizar evaluaciones continuas y finales.</w:t>
            </w:r>
          </w:p>
          <w:p w:rsidRPr="005355D3" w:rsidR="00D94555" w:rsidP="00A624BD" w:rsidRDefault="00D94555" w14:paraId="437009D1" w14:textId="7F59116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Fungir de tutor, panelista, relator, o lector de trabajos de grado, examinador de exámenes de grado.</w:t>
            </w:r>
          </w:p>
          <w:p w:rsidRPr="005355D3" w:rsidR="00D94555" w:rsidP="00A624BD" w:rsidRDefault="00D94555" w14:paraId="3C355F9B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A624BD" w:rsidRDefault="00D94555" w14:paraId="66A19E7D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A624BD" w:rsidRDefault="00D94555" w14:paraId="614A11CD" w14:textId="126FAD9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la administración y coordinación académica de la enseñanza. </w:t>
            </w:r>
          </w:p>
          <w:p w:rsidRPr="005355D3" w:rsidR="00D94555" w:rsidP="00A624BD" w:rsidRDefault="00D94555" w14:paraId="7199D0FE" w14:textId="16FD674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Comunicar a los estudiantes las disposiciones y novedades que surjan en la universidad como parte del proceso académico. </w:t>
            </w:r>
          </w:p>
          <w:p w:rsidRPr="005355D3" w:rsidR="00D94555" w:rsidP="00A624BD" w:rsidRDefault="00D94555" w14:paraId="34F39337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A624BD" w:rsidRDefault="00D94555" w14:paraId="7F637107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A624BD" w:rsidRDefault="00D94555" w14:paraId="24F427C2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A624BD" w:rsidRDefault="00D94555" w14:paraId="45A60E06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A624BD" w:rsidRDefault="00D94555" w14:paraId="0E74E023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A624BD" w:rsidRDefault="00D94555" w14:paraId="34C75E08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A624BD" w:rsidRDefault="00D94555" w14:paraId="5F6F1F0A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A624BD" w:rsidRDefault="00D94555" w14:paraId="45069D12" w14:textId="6163466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Entrega oportuna de resultados y evaluaciones al Departamento y a los estudiantes.</w:t>
            </w:r>
          </w:p>
          <w:p w:rsidRPr="005355D3" w:rsidR="00D94555" w:rsidP="00A624BD" w:rsidRDefault="00D94555" w14:paraId="29C49E99" w14:textId="3891DC3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Recibir y dar capacitación interna. </w:t>
            </w:r>
          </w:p>
          <w:p w:rsidRPr="005355D3" w:rsidR="00D94555" w:rsidP="7C9E8766" w:rsidRDefault="00D94555" w14:paraId="74B2614C" w14:textId="02C8FD0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  <w:r w:rsidRPr="7C9E8766" w:rsidR="7C9E876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Estar dispuesto a las reuniones que se pacten para el seguimiento y control de la actividad docente.  </w:t>
            </w:r>
          </w:p>
          <w:p w:rsidRPr="005355D3" w:rsidR="00D94555" w:rsidP="7C9E8766" w:rsidRDefault="00D94555" w14:paraId="77050C00" w14:textId="09949A1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  <w:r w:rsidRPr="7C9E8766" w:rsidR="7C9E876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 xml:space="preserve">Debe aplicar el modelo Académico de la U.C.B. </w:t>
            </w:r>
          </w:p>
          <w:p w:rsidRPr="005355D3" w:rsidR="00D94555" w:rsidP="00A624BD" w:rsidRDefault="00D94555" w14:paraId="7C55776E" w14:textId="5AE7BFB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7C9E8766" w:rsidR="7C9E876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  <w:t>Gestionar o apoyar en proyectos de interacción social con los sectores social, productivo y las obras sociales de la Iglesia.</w:t>
            </w: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A624BD" w:rsidRDefault="005355D3" w14:paraId="0EC934D9" w14:textId="611EED9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</w:tc>
      </w:tr>
      <w:tr w:rsidRPr="00D94555" w:rsidR="00D94555" w:rsidTr="7C9E8766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7C9E8766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833A457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Bidi"/>
                <w:spacing w:val="5"/>
                <w:lang w:eastAsia="es-ES"/>
              </w:rPr>
            </w:pPr>
            <w:r w:rsidRPr="1833A457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833A457" w:rsidRDefault="00D94555" w14:paraId="4FC9AA19" w14:textId="29D3BF4F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Bidi"/>
                <w:color w:val="FF0000"/>
                <w:spacing w:val="5"/>
                <w:lang w:eastAsia="es-ES"/>
              </w:rPr>
            </w:pPr>
            <w:r w:rsidRPr="1833A457">
              <w:rPr>
                <w:rFonts w:asciiTheme="majorHAnsi" w:hAnsiTheme="majorHAnsi" w:cstheme="majorBidi"/>
                <w:spacing w:val="5"/>
              </w:rPr>
              <w:t>Del 1</w:t>
            </w:r>
            <w:r w:rsidR="00A624BD">
              <w:rPr>
                <w:rFonts w:asciiTheme="majorHAnsi" w:hAnsiTheme="majorHAnsi" w:cstheme="majorBidi"/>
                <w:spacing w:val="5"/>
              </w:rPr>
              <w:t>3</w:t>
            </w:r>
            <w:r w:rsidRPr="1833A457">
              <w:rPr>
                <w:rFonts w:asciiTheme="majorHAnsi" w:hAnsiTheme="majorHAnsi" w:cstheme="majorBidi"/>
                <w:spacing w:val="5"/>
              </w:rPr>
              <w:t xml:space="preserve"> de</w:t>
            </w:r>
            <w:r w:rsidR="00A624BD">
              <w:rPr>
                <w:rFonts w:asciiTheme="majorHAnsi" w:hAnsiTheme="majorHAnsi" w:cstheme="majorBidi"/>
                <w:spacing w:val="5"/>
              </w:rPr>
              <w:t xml:space="preserve"> octubre</w:t>
            </w:r>
            <w:r w:rsidRPr="1833A457">
              <w:rPr>
                <w:rFonts w:asciiTheme="majorHAnsi" w:hAnsiTheme="majorHAnsi" w:cstheme="majorBidi"/>
                <w:spacing w:val="5"/>
              </w:rPr>
              <w:t xml:space="preserve"> </w:t>
            </w:r>
            <w:proofErr w:type="spellStart"/>
            <w:r w:rsidRPr="1833A457">
              <w:rPr>
                <w:rFonts w:asciiTheme="majorHAnsi" w:hAnsiTheme="majorHAnsi" w:cstheme="majorBidi"/>
                <w:spacing w:val="5"/>
              </w:rPr>
              <w:t>de</w:t>
            </w:r>
            <w:proofErr w:type="spellEnd"/>
            <w:r w:rsidRPr="1833A457">
              <w:rPr>
                <w:rFonts w:asciiTheme="majorHAnsi" w:hAnsiTheme="majorHAnsi" w:cstheme="majorBidi"/>
                <w:spacing w:val="5"/>
              </w:rPr>
              <w:t xml:space="preserve"> 202</w:t>
            </w:r>
            <w:r w:rsidRPr="1833A457" w:rsidR="008332E2">
              <w:rPr>
                <w:rFonts w:asciiTheme="majorHAnsi" w:hAnsiTheme="majorHAnsi" w:cstheme="majorBidi"/>
                <w:spacing w:val="5"/>
              </w:rPr>
              <w:t>3</w:t>
            </w:r>
          </w:p>
        </w:tc>
      </w:tr>
      <w:tr w:rsidRPr="00D94555" w:rsidR="00D94555" w:rsidTr="7C9E8766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833A457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Bidi"/>
                <w:spacing w:val="5"/>
                <w:lang w:eastAsia="es-ES"/>
              </w:rPr>
            </w:pPr>
            <w:r w:rsidRPr="1833A457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7C9E8766" w:rsidRDefault="00D94555" w14:paraId="2CEAAFA8" w14:textId="6BA3425F">
            <w:pPr>
              <w:spacing w:before="80" w:after="80" w:line="240" w:lineRule="auto"/>
              <w:jc w:val="both"/>
              <w:rPr>
                <w:rFonts w:ascii="Calibri Light" w:hAnsi="Calibri Light" w:eastAsia="Calibri" w:cs="" w:asciiTheme="majorAscii" w:hAnsiTheme="majorAscii" w:cstheme="majorBidi"/>
                <w:color w:val="FF0000"/>
                <w:spacing w:val="5"/>
                <w:lang w:eastAsia="es-ES"/>
              </w:rPr>
            </w:pPr>
            <w:r w:rsidRPr="7C9E8766">
              <w:rPr>
                <w:rFonts w:ascii="Calibri Light" w:hAnsi="Calibri Light" w:cs="" w:asciiTheme="majorAscii" w:hAnsiTheme="majorAscii" w:cstheme="majorBidi"/>
                <w:spacing w:val="5"/>
              </w:rPr>
              <w:t>Hasta el 2</w:t>
            </w:r>
            <w:r w:rsidRPr="7C9E8766" w:rsidR="00A624BD">
              <w:rPr>
                <w:rFonts w:ascii="Calibri Light" w:hAnsi="Calibri Light" w:cs="" w:asciiTheme="majorAscii" w:hAnsiTheme="majorAscii" w:cstheme="majorBidi"/>
                <w:spacing w:val="5"/>
              </w:rPr>
              <w:t>7</w:t>
            </w:r>
            <w:r w:rsidRPr="7C9E8766">
              <w:rPr>
                <w:rFonts w:ascii="Calibri Light" w:hAnsi="Calibri Light" w:cs="" w:asciiTheme="majorAscii" w:hAnsiTheme="majorAscii" w:cstheme="majorBidi"/>
                <w:spacing w:val="5"/>
              </w:rPr>
              <w:t xml:space="preserve"> de </w:t>
            </w:r>
            <w:r w:rsidRPr="7C9E8766" w:rsidR="00A624BD">
              <w:rPr>
                <w:rFonts w:ascii="Calibri Light" w:hAnsi="Calibri Light" w:cs="" w:asciiTheme="majorAscii" w:hAnsiTheme="majorAscii" w:cstheme="majorBidi"/>
                <w:spacing w:val="5"/>
              </w:rPr>
              <w:t>octubre</w:t>
            </w:r>
            <w:r w:rsidRPr="7C9E8766">
              <w:rPr>
                <w:rFonts w:ascii="Calibri Light" w:hAnsi="Calibri Light" w:cs="" w:asciiTheme="majorAscii" w:hAnsiTheme="majorAscii" w:cstheme="majorBidi"/>
                <w:spacing w:val="5"/>
              </w:rPr>
              <w:t xml:space="preserve"> de 202</w:t>
            </w:r>
            <w:r w:rsidRPr="7C9E8766" w:rsidR="008332E2">
              <w:rPr>
                <w:rFonts w:ascii="Calibri Light" w:hAnsi="Calibri Light" w:cs="" w:asciiTheme="majorAscii" w:hAnsiTheme="majorAscii" w:cstheme="majorBidi"/>
                <w:spacing w:val="5"/>
              </w:rPr>
              <w:t>3</w:t>
            </w:r>
            <w:r w:rsidRPr="7C9E8766">
              <w:rPr>
                <w:rFonts w:ascii="Calibri Light" w:hAnsi="Calibri Light" w:cs="" w:asciiTheme="majorAscii" w:hAnsiTheme="majorAscii" w:cstheme="majorBidi"/>
                <w:spacing w:val="5"/>
              </w:rPr>
              <w:t xml:space="preserve"> a horas 23:59</w:t>
            </w:r>
          </w:p>
        </w:tc>
      </w:tr>
      <w:tr w:rsidRPr="00D94555" w:rsidR="00D94555" w:rsidTr="7C9E8766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833A457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Bidi"/>
                <w:spacing w:val="5"/>
                <w:lang w:eastAsia="es-ES"/>
              </w:rPr>
            </w:pPr>
            <w:r w:rsidRPr="1833A457">
              <w:rPr>
                <w:rFonts w:eastAsia="Times New Roman" w:asciiTheme="majorHAnsi" w:hAnsiTheme="majorHAnsi" w:cstheme="majorBid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1833A457" w:rsidRDefault="00D94555" w14:paraId="70707456" w14:textId="39644CA1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Bidi"/>
                <w:color w:val="FF0000"/>
                <w:spacing w:val="5"/>
                <w:lang w:eastAsia="es-ES"/>
              </w:rPr>
            </w:pPr>
            <w:r w:rsidRPr="1833A457">
              <w:rPr>
                <w:rFonts w:asciiTheme="majorHAnsi" w:hAnsiTheme="majorHAnsi" w:cstheme="majorBidi"/>
                <w:spacing w:val="5"/>
              </w:rPr>
              <w:t xml:space="preserve">01 de </w:t>
            </w:r>
            <w:r w:rsidR="00A624BD">
              <w:rPr>
                <w:rFonts w:asciiTheme="majorHAnsi" w:hAnsiTheme="majorHAnsi" w:cstheme="majorBidi"/>
                <w:spacing w:val="5"/>
              </w:rPr>
              <w:t>febrero</w:t>
            </w:r>
            <w:r w:rsidRPr="1833A457">
              <w:rPr>
                <w:rFonts w:asciiTheme="majorHAnsi" w:hAnsiTheme="majorHAnsi" w:cstheme="majorBidi"/>
                <w:spacing w:val="5"/>
              </w:rPr>
              <w:t xml:space="preserve"> de 202</w:t>
            </w:r>
            <w:r w:rsidRPr="1833A457" w:rsidR="00282544">
              <w:rPr>
                <w:rFonts w:asciiTheme="majorHAnsi" w:hAnsiTheme="majorHAnsi" w:cstheme="majorBidi"/>
                <w:spacing w:val="5"/>
              </w:rPr>
              <w:t>4</w:t>
            </w:r>
          </w:p>
        </w:tc>
      </w:tr>
      <w:tr w:rsidRPr="00D94555" w:rsidR="00D94555" w:rsidTr="7C9E8766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34F1B933" w14:textId="77777777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7C9E8766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266DA29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de acuerdo </w:t>
            </w:r>
            <w:r w:rsidR="00282544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con el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5B9B0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A624BD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</w:t>
            </w:r>
            <w:r w:rsidRPr="00A624BD" w:rsidR="00A624BD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bajo la modalidad de contrato civil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horario.</w:t>
            </w:r>
          </w:p>
          <w:p w:rsidRPr="00D94555" w:rsidR="00D94555" w:rsidP="00D94555" w:rsidRDefault="00D94555" w14:paraId="40EA10D3" w14:textId="3E3628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7C9E8766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7C9E8766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A624BD" w:rsidRDefault="00D94555" w14:paraId="54E87C17" w14:textId="77777777">
            <w:pPr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A624BD" w:rsidRDefault="00D94555" w14:paraId="0804E5E2" w14:textId="75ED6022">
            <w:pPr>
              <w:spacing w:before="80" w:after="8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2B321D" w:rsidP="002B321D" w:rsidRDefault="00282544" w14:paraId="3BF5CC8D" w14:textId="098D3D1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CARRERA DE DERECHO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BA46E8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2E2E044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:rsidRPr="002B321D" w:rsidR="002B321D" w:rsidP="002B321D" w:rsidRDefault="00282544" w14:paraId="7737AF79" w14:textId="098D3D1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CARRERA DE DERECHO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282544" w14:paraId="50BABCB9" w14:textId="3850E2A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DER</w:t>
                            </w:r>
                            <w:r w:rsidR="00977552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 -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46FA4E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282544" w14:paraId="4165FF7B" w14:textId="3850E2A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DER</w:t>
                      </w:r>
                      <w:r w:rsidR="00977552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 -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259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583F792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DERECHO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91F083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7A2E1F83" w14:textId="583F792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DERECHO DE LA EMPRESA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4B7687DC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09F4FB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5D20CDAB" w14:textId="4B7687DC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282544">
                        <w:rPr>
                          <w:rFonts w:cs="Arial"/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AC0CEB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41C780A5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32C2EE6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9C6ECDE" w14:textId="41C780A5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282544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22B8E240">
                                  <w:r>
                                    <w:t xml:space="preserve">Lunes, </w:t>
                                  </w:r>
                                  <w:r w:rsidR="00282544">
                                    <w:t>m</w:t>
                                  </w:r>
                                  <w:r>
                                    <w:t xml:space="preserve">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282544" w14:paraId="22188716" w14:textId="2DF86A44">
                                  <w:r>
                                    <w:t>9</w:t>
                                  </w:r>
                                  <w:r w:rsidR="0066182E">
                                    <w:t>:</w:t>
                                  </w:r>
                                  <w:r>
                                    <w:t>00</w:t>
                                  </w:r>
                                  <w:r w:rsidR="0066182E">
                                    <w:t xml:space="preserve"> – </w:t>
                                  </w:r>
                                  <w:r>
                                    <w:t>10</w:t>
                                  </w:r>
                                  <w:r w:rsidR="0066182E">
                                    <w:t>:</w:t>
                                  </w:r>
                                  <w: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7EFF4DF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7507286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5EA82C79" w14:textId="22B8E240">
                            <w:r>
                              <w:t xml:space="preserve">Lunes, </w:t>
                            </w:r>
                            <w:r w:rsidR="00282544">
                              <w:t>m</w:t>
                            </w:r>
                            <w:r>
                              <w:t xml:space="preserve">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282544" w14:paraId="5ADC908C" w14:textId="2DF86A44">
                            <w:r>
                              <w:t>9</w:t>
                            </w:r>
                            <w:r w:rsidR="0066182E">
                              <w:t>:</w:t>
                            </w:r>
                            <w:r>
                              <w:t>00</w:t>
                            </w:r>
                            <w:r w:rsidR="0066182E">
                              <w:t xml:space="preserve"> – </w:t>
                            </w:r>
                            <w:r>
                              <w:t>10</w:t>
                            </w:r>
                            <w:r w:rsidR="0066182E">
                              <w:t>:</w:t>
                            </w:r>
                            <w:r>
                              <w:t>30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82544" w14:paraId="325F790B" w14:textId="706697E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82544" w14:paraId="13B3713E" w14:textId="22CDF0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5BADA53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82544" w14:paraId="09C1CEBC" w14:textId="706697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82544" w14:paraId="78941E47" w14:textId="22CDF0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3670FF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34E0F3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197F86DB" w14:textId="3670FF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282544" w:rsidR="00282544" w:rsidP="00282544" w:rsidRDefault="00282544" w14:paraId="3E2D0F76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El contexto actual mundial, las relaciones económicas y comerciales habituales, justifican el abordaje del conocimiento de las normas que regulan el ejercicio del comerciante y los actos comercio, como base de formación o creación de una empresa, en el marco de la legislación boliviana vigente.</w:t>
      </w:r>
    </w:p>
    <w:p w:rsidRPr="00282544" w:rsidR="00282544" w:rsidP="00282544" w:rsidRDefault="00282544" w14:paraId="61B70658" w14:textId="2564CCF1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Las personas que asesoran dirigen y emprenden en Bolivia, requieren conocer una breve introducción al Derecho, para luego abordar el Derecho 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Comercial 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sobre la base del Código de Comercio de Bolivia. En ese marco, tener en cuenta las características básicas que diferencian a un comerciante y los actos de comercio, de una persona civil y los actos que no 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son comerciales. Los comerciantes tienen obligaciones básicas para ejercen su actividad de forma legal, m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á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s allá decidir sobre la conformación o constitución de un tipo de sociedad comercial.</w:t>
      </w:r>
    </w:p>
    <w:p w:rsidRPr="00282544" w:rsidR="00282544" w:rsidP="00282544" w:rsidRDefault="00282544" w14:paraId="457B4E10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Por otro lado, también, conformar y llevar adelante la empresa conlleva relaciones con terceros: Socios, proveedores y el Estado, por un lado, y por otro, sus colaboradores internos, lo que requieren abordar otras ramas del Derecho, como tributario, laboral y normas públicas. </w:t>
      </w:r>
    </w:p>
    <w:p w:rsidRPr="00D94555" w:rsidR="00C67FC9" w:rsidP="00282544" w:rsidRDefault="00282544" w14:paraId="1D1AD84A" w14:textId="6186E193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En ese sentido, el perfil profesional de las áreas de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Empresariales 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y del Derecho, justifica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n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lograr las competencias antes indicadas para asesorar en su momento a las personas que llevan adelante una empresa o en su caso cuando decidan conformar una.</w:t>
      </w:r>
    </w:p>
    <w:p w:rsidRPr="00D94555"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00977552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proofErr w:type="gramStart"/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282544" w:rsidR="00282544" w:rsidP="00282544" w:rsidRDefault="00282544" w14:paraId="3B830BC1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sz w:val="24"/>
          <w:szCs w:val="24"/>
          <w:lang w:eastAsia="es-ES"/>
        </w:rPr>
        <w:t>Satisface las necesidades jurídicas habituales de las Empresas, identificando la alternativa legal con menores costos de transacción a partir de las normas jurídicas aplicables al caso concreto, con objetividad y sentido ético.</w:t>
      </w:r>
    </w:p>
    <w:p w:rsidR="00282544" w:rsidP="00282544" w:rsidRDefault="00282544" w14:paraId="0E4E5ED9" w14:textId="2D66B89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282544">
        <w:rPr>
          <w:rFonts w:eastAsia="Times New Roman" w:asciiTheme="majorHAnsi" w:hAnsiTheme="majorHAnsi" w:cstheme="majorHAnsi"/>
          <w:sz w:val="24"/>
          <w:szCs w:val="24"/>
          <w:lang w:eastAsia="es-ES"/>
        </w:rPr>
        <w:t>Evita conflictos y sanciones, respetando los límites de actuación de los intereses empresariales en cuanto a su relación con terceros y con el Estado, contenidos en las normas de las principales ramas que componen el Derecho de la Empresa, con objetividad y sentido ético.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7C9E8766" w:rsidRDefault="009A5FD5" w14:paraId="07A34081" w14:textId="1F1442B2" w14:noSpellErr="1">
      <w:pPr>
        <w:spacing w:after="0"/>
        <w:ind w:firstLine="360"/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</w:pP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  <w:t>DESARROLLADO POR EL POSTULANTE</w:t>
      </w: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  <w:t xml:space="preserve"> </w:t>
      </w:r>
    </w:p>
    <w:p w:rsidR="00977552" w:rsidP="7C9E8766" w:rsidRDefault="009A5FD5" w14:paraId="22BBB9F4" w14:textId="64C171CA" w14:noSpellErr="1">
      <w:pPr>
        <w:pStyle w:val="Prrafodelista"/>
        <w:spacing w:after="0"/>
        <w:ind w:left="360"/>
        <w:rPr>
          <w:rFonts w:ascii="Calibri Light" w:hAnsi="Calibri Light" w:cs="" w:asciiTheme="majorAscii" w:hAnsiTheme="majorAscii" w:cstheme="majorBidi"/>
          <w:b w:val="1"/>
          <w:bCs w:val="1"/>
          <w:sz w:val="24"/>
          <w:szCs w:val="24"/>
        </w:rPr>
      </w:pP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  <w:t xml:space="preserve">DOCUMENTO DE REFERENCIA: MODELO ACADÉMICO PAG </w:t>
      </w: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  <w:t>46</w:t>
      </w: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  <w:lang w:eastAsia="es-BO"/>
        </w:rPr>
        <w:t>:</w:t>
      </w:r>
      <w:r w:rsidRPr="7C9E8766" w:rsidR="7C9E8766">
        <w:rPr>
          <w:rFonts w:ascii="Calibri Light" w:hAnsi="Calibri Light" w:cs="" w:asciiTheme="majorAscii" w:hAnsiTheme="majorAscii" w:cstheme="majorBidi"/>
          <w:b w:val="1"/>
          <w:bCs w:val="1"/>
          <w:sz w:val="24"/>
          <w:szCs w:val="24"/>
        </w:rPr>
        <w:t xml:space="preserve">  </w:t>
      </w:r>
    </w:p>
    <w:p w:rsidRPr="00D94555" w:rsidR="00A624BD" w:rsidP="7C9E8766" w:rsidRDefault="00A624BD" w14:paraId="4EDEE4AD" w14:noSpellErr="1" w14:textId="571DB9EE">
      <w:pPr>
        <w:spacing w:after="0"/>
        <w:ind w:firstLine="360"/>
      </w:pPr>
      <w:hyperlink r:id="Rc1df15c7251742a9">
        <w:r w:rsidRPr="7C9E8766" w:rsidR="7C9E8766">
          <w:rPr>
            <w:rStyle w:val="Hipervnculo"/>
          </w:rPr>
          <w:t>https://www.ucb.edu.bo/wp-content/uploads/2023/09/Modelo-Institucional-DIGITAL-1.pdf</w:t>
        </w:r>
      </w:hyperlink>
      <w:r w:rsidR="7C9E8766">
        <w:rPr/>
        <w:t xml:space="preserve"> </w:t>
      </w:r>
    </w:p>
    <w:p w:rsidR="009A5FD5" w:rsidP="00977552" w:rsidRDefault="009A5FD5" w14:paraId="1B9DD149" w14:textId="219981F8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  <w:r w:rsidR="00282544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.</w:t>
      </w:r>
    </w:p>
    <w:p w:rsidRPr="00282544" w:rsidR="00282544" w:rsidP="00282544" w:rsidRDefault="00282544" w14:paraId="1DD239A8" w14:textId="7FB42509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 xml:space="preserve">1. Derecho </w:t>
      </w:r>
      <w:r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Comercial</w:t>
      </w: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. Parte General.</w:t>
      </w:r>
    </w:p>
    <w:p w:rsidRPr="00282544" w:rsidR="00282544" w:rsidP="00282544" w:rsidRDefault="00282544" w14:paraId="24FA9F2D" w14:textId="7777777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2. El empresario y el acto de comercio.</w:t>
      </w:r>
    </w:p>
    <w:p w:rsidRPr="00282544" w:rsidR="00282544" w:rsidP="00282544" w:rsidRDefault="00282544" w14:paraId="3DB93D37" w14:textId="7777777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3. La Empresa.</w:t>
      </w:r>
    </w:p>
    <w:p w:rsidRPr="00282544" w:rsidR="00282544" w:rsidP="00282544" w:rsidRDefault="00282544" w14:paraId="066E45D8" w14:textId="7777777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4. Las Sociedades Comerciales</w:t>
      </w:r>
    </w:p>
    <w:p w:rsidRPr="00282544" w:rsidR="00282544" w:rsidP="00282544" w:rsidRDefault="00282544" w14:paraId="4F7A214C" w14:textId="7777777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5. La competencia desleal</w:t>
      </w:r>
    </w:p>
    <w:p w:rsidRPr="00282544" w:rsidR="00282544" w:rsidP="00282544" w:rsidRDefault="00282544" w14:paraId="1B5C326F" w14:textId="7777777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6. Los Títulos Valores</w:t>
      </w:r>
    </w:p>
    <w:p w:rsidRPr="00282544" w:rsidR="00282544" w:rsidP="00282544" w:rsidRDefault="00282544" w14:paraId="3B078D4A" w14:textId="6988A0BF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7. Los contratos mercantiles.</w:t>
      </w:r>
    </w:p>
    <w:p w:rsidRPr="00282544" w:rsidR="00282544" w:rsidP="00282544" w:rsidRDefault="00282544" w14:paraId="5AF62080" w14:textId="69F2AAF7">
      <w:pPr>
        <w:spacing w:before="120" w:after="120" w:line="276" w:lineRule="auto"/>
        <w:ind w:left="360" w:firstLine="349"/>
        <w:jc w:val="both"/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</w:pPr>
      <w:r w:rsidRPr="00282544">
        <w:rPr>
          <w:rFonts w:eastAsia="Times New Roman" w:asciiTheme="majorHAnsi" w:hAnsiTheme="majorHAnsi" w:cstheme="majorHAnsi"/>
          <w:bCs/>
          <w:sz w:val="24"/>
          <w:szCs w:val="24"/>
          <w:lang w:val="es-ES_tradnl" w:eastAsia="es-ES"/>
        </w:rPr>
        <w:t>8. Colaboradores de la empresa: Trabajadores, Contratistas, Clientes y Socios.</w:t>
      </w:r>
    </w:p>
    <w:p w:rsidRPr="00D94555" w:rsidR="00282544" w:rsidP="00282544" w:rsidRDefault="00282544" w14:paraId="3747A93A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7C9E8766" w14:paraId="6FC37408" w14:textId="77777777">
        <w:tc>
          <w:tcPr>
            <w:tcW w:w="2235" w:type="dxa"/>
            <w:vMerge w:val="restart"/>
            <w:tcMar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Mar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Mar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7C9E8766" w14:paraId="1800821D" w14:textId="77777777">
        <w:tc>
          <w:tcPr>
            <w:tcW w:w="2235" w:type="dxa"/>
            <w:vMerge/>
            <w:tcMar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Mar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tcMar/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tcMar/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Mar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4D38D2" w:rsidTr="7C9E8766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</w:tcPr>
          <w:p w:rsidRPr="00D94555" w:rsidR="004D38D2" w:rsidP="004D38D2" w:rsidRDefault="004D38D2" w14:paraId="31E4AA8B" w14:textId="22961098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</w:tcPr>
          <w:p w:rsidRPr="00D94555" w:rsidR="004D38D2" w:rsidP="004D38D2" w:rsidRDefault="004D38D2" w14:paraId="604A4FE7" w14:textId="00A705CC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D94555" w:rsidR="004D38D2" w:rsidP="004D38D2" w:rsidRDefault="004D38D2" w14:paraId="3997EBBD" w14:textId="0DB1FF97">
            <w:pPr>
              <w:pStyle w:val="Prrafodelista"/>
              <w:spacing w:after="0" w:line="240" w:lineRule="auto"/>
              <w:ind w:left="58"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D94555" w:rsidR="004D38D2" w:rsidP="004D38D2" w:rsidRDefault="004D38D2" w14:paraId="499793DD" w14:textId="5EFC3CB6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D94555" w:rsidR="004D38D2" w:rsidP="004D38D2" w:rsidRDefault="004D38D2" w14:paraId="7BFD87E5" w14:textId="553B4CC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7C9E8766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tcMar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Mar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Mar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tcMar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7C9E8766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  <w:tcMar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Mar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Mar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  <w:tcMar/>
          </w:tcPr>
          <w:p w:rsidRPr="00D94555" w:rsidR="00F85233" w:rsidP="7C9E8766" w:rsidRDefault="00F85233" w14:paraId="4FEAA4BD" w14:textId="77777777" w14:noSpellErr="1">
            <w:pPr>
              <w:spacing w:before="80" w:after="0" w:line="240" w:lineRule="auto"/>
              <w:ind w:left="0"/>
              <w:contextualSpacing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7C9E8766" w14:paraId="2075E0E8" w14:textId="77777777">
        <w:trPr>
          <w:trHeight w:val="418"/>
          <w:jc w:val="center"/>
        </w:trPr>
        <w:tc>
          <w:tcPr>
            <w:tcW w:w="1984" w:type="dxa"/>
            <w:vMerge/>
            <w:tcMar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Mar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Mar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  <w:tcMar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7C9E8766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  <w:tcMar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Mar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Mar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  <w:tcMar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7C9E8766" w14:paraId="092BEDCC" w14:textId="77777777">
        <w:trPr>
          <w:trHeight w:val="418"/>
          <w:jc w:val="center"/>
        </w:trPr>
        <w:tc>
          <w:tcPr>
            <w:tcW w:w="1984" w:type="dxa"/>
            <w:vMerge/>
            <w:tcMar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Mar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Mar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  <w:tcMar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7C9E8766" w14:paraId="141B0698" w14:textId="77777777">
        <w:tc>
          <w:tcPr>
            <w:tcW w:w="2694" w:type="dxa"/>
            <w:shd w:val="clear" w:color="auto" w:fill="auto"/>
            <w:tcMar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tcMar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tcMar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tcMar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7C9E8766" w14:paraId="09C0E81F" w14:textId="77777777">
        <w:tc>
          <w:tcPr>
            <w:tcW w:w="2694" w:type="dxa"/>
            <w:shd w:val="clear" w:color="auto" w:fill="auto"/>
            <w:tcMar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  <w:tcMar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  <w:tcMar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check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  <w:tcMar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  <w:tcMar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7C9E8766" w14:paraId="13E5F089" w14:textId="77777777">
        <w:tc>
          <w:tcPr>
            <w:tcW w:w="2694" w:type="dxa"/>
            <w:shd w:val="clear" w:color="auto" w:fill="auto"/>
            <w:tcMar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  <w:tcMar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  <w:tcMar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7C9E8766" w14:paraId="7A57A2AC" w14:textId="77777777">
        <w:tc>
          <w:tcPr>
            <w:tcW w:w="2694" w:type="dxa"/>
            <w:shd w:val="clear" w:color="auto" w:fill="auto"/>
            <w:tcMar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  <w:tcMar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  <w:tcMar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7C9E8766" w14:paraId="01CFF291" w14:textId="77777777">
        <w:tc>
          <w:tcPr>
            <w:tcW w:w="2694" w:type="dxa"/>
            <w:shd w:val="clear" w:color="auto" w:fill="auto"/>
            <w:tcMar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  <w:tcMar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  <w:tcMar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7C9E8766" w14:paraId="3EB2566D" w14:textId="77777777">
        <w:tc>
          <w:tcPr>
            <w:tcW w:w="8364" w:type="dxa"/>
            <w:gridSpan w:val="4"/>
            <w:shd w:val="clear" w:color="auto" w:fill="BFBFBF" w:themeFill="background1" w:themeFillShade="BF"/>
            <w:tcMar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 w:themeFill="background1" w:themeFillShade="BF"/>
            <w:tcMar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7C9E8766" w14:paraId="4C4CCAB8" w14:textId="77777777">
        <w:tc>
          <w:tcPr>
            <w:tcW w:w="2694" w:type="dxa"/>
            <w:shd w:val="clear" w:color="auto" w:fill="auto"/>
            <w:tcMar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  <w:tcMar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  <w:tcMar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tcMar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F02" w:rsidRDefault="00E81F02" w14:paraId="009943C5" w14:textId="77777777">
      <w:pPr>
        <w:spacing w:after="0" w:line="240" w:lineRule="auto"/>
      </w:pPr>
      <w:r>
        <w:separator/>
      </w:r>
    </w:p>
  </w:endnote>
  <w:endnote w:type="continuationSeparator" w:id="0">
    <w:p w:rsidR="00E81F02" w:rsidRDefault="00E81F02" w14:paraId="591DCD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F02" w:rsidRDefault="00E81F02" w14:paraId="35ED8E3D" w14:textId="77777777">
      <w:pPr>
        <w:spacing w:after="0" w:line="240" w:lineRule="auto"/>
      </w:pPr>
      <w:r>
        <w:separator/>
      </w:r>
    </w:p>
  </w:footnote>
  <w:footnote w:type="continuationSeparator" w:id="0">
    <w:p w:rsidR="00E81F02" w:rsidRDefault="00E81F02" w14:paraId="5F91A7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C203D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0C203D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0C203D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0C203D" w:rsidP="00167EFD" w:rsidRDefault="000C203D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0C203D" w:rsidP="001E43C3" w:rsidRDefault="00024C5D" w14:paraId="3B9EBD47" w14:textId="3816FD4C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A624BD">
            <w:rPr>
              <w:noProof/>
              <w:sz w:val="24"/>
              <w:szCs w:val="24"/>
            </w:rPr>
            <w:t>11/10/2023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C203D" w:rsidRDefault="000C203D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0C203D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C203D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0C203D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0C203D" w:rsidRDefault="000C203D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C203D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0C203D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0C203D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0C203D" w:rsidP="00343EB5" w:rsidRDefault="000C203D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0C203D" w:rsidRDefault="00024C5D" w14:paraId="3FAE0A8F" w14:textId="22B49BB0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A624BD">
            <w:rPr>
              <w:noProof/>
              <w:sz w:val="24"/>
              <w:szCs w:val="24"/>
            </w:rPr>
            <w:t>11/10/2023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C203D" w:rsidRDefault="000C203D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0C203D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C203D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0C203D" w:rsidRDefault="000C203D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580055"/>
    <w:multiLevelType w:val="hybridMultilevel"/>
    <w:tmpl w:val="CCD4866C"/>
    <w:lvl w:ilvl="0" w:tplc="4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8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10"/>
  </w:num>
  <w:num w:numId="22" w16cid:durableId="1070154765">
    <w:abstractNumId w:val="20"/>
  </w:num>
  <w:num w:numId="23" w16cid:durableId="210287069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C203D"/>
    <w:rsid w:val="000D22BB"/>
    <w:rsid w:val="000E09C9"/>
    <w:rsid w:val="000E3DE2"/>
    <w:rsid w:val="001231E7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82544"/>
    <w:rsid w:val="002A6B52"/>
    <w:rsid w:val="002B321D"/>
    <w:rsid w:val="002C47D1"/>
    <w:rsid w:val="002E19D7"/>
    <w:rsid w:val="002E316F"/>
    <w:rsid w:val="002E64A2"/>
    <w:rsid w:val="00330794"/>
    <w:rsid w:val="00334D2A"/>
    <w:rsid w:val="00343EB5"/>
    <w:rsid w:val="003D24D5"/>
    <w:rsid w:val="004743BE"/>
    <w:rsid w:val="004D38D2"/>
    <w:rsid w:val="005355D3"/>
    <w:rsid w:val="005414DC"/>
    <w:rsid w:val="00563DA7"/>
    <w:rsid w:val="00565010"/>
    <w:rsid w:val="00577E3C"/>
    <w:rsid w:val="005E3970"/>
    <w:rsid w:val="006434CD"/>
    <w:rsid w:val="0066182E"/>
    <w:rsid w:val="006853B9"/>
    <w:rsid w:val="006C45D7"/>
    <w:rsid w:val="006C6150"/>
    <w:rsid w:val="00713531"/>
    <w:rsid w:val="007161FC"/>
    <w:rsid w:val="007A432B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77552"/>
    <w:rsid w:val="009A5FD5"/>
    <w:rsid w:val="009E0E77"/>
    <w:rsid w:val="00A35C6F"/>
    <w:rsid w:val="00A624BD"/>
    <w:rsid w:val="00B26DC3"/>
    <w:rsid w:val="00B37BD6"/>
    <w:rsid w:val="00BA2BBF"/>
    <w:rsid w:val="00BD3BB1"/>
    <w:rsid w:val="00C247C6"/>
    <w:rsid w:val="00C67FC9"/>
    <w:rsid w:val="00C95256"/>
    <w:rsid w:val="00CD3665"/>
    <w:rsid w:val="00D366BF"/>
    <w:rsid w:val="00D738C0"/>
    <w:rsid w:val="00D94555"/>
    <w:rsid w:val="00DF4261"/>
    <w:rsid w:val="00E72F00"/>
    <w:rsid w:val="00E81F02"/>
    <w:rsid w:val="00EA7529"/>
    <w:rsid w:val="00EF1492"/>
    <w:rsid w:val="00F056EF"/>
    <w:rsid w:val="00F85233"/>
    <w:rsid w:val="0DC24B36"/>
    <w:rsid w:val="1255D895"/>
    <w:rsid w:val="1833A457"/>
    <w:rsid w:val="2996EEA0"/>
    <w:rsid w:val="4D8A547A"/>
    <w:rsid w:val="7371FF5E"/>
    <w:rsid w:val="7C9E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24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ucb.edu.bo/wp-content/uploads/2023/09/Modelo-Institucional-DIGITAL-1.pdf" TargetMode="External" Id="Rc1df15c7251742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Usuario invitado</lastModifiedBy>
  <revision>8</revision>
  <dcterms:created xsi:type="dcterms:W3CDTF">2023-10-10T14:53:00.0000000Z</dcterms:created>
  <dcterms:modified xsi:type="dcterms:W3CDTF">2023-10-11T15:47:36.5626086Z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